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B8E99" w14:textId="77777777" w:rsidR="003619D8" w:rsidRDefault="003619D8" w:rsidP="003619D8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51CA83DC" w14:textId="77777777" w:rsidR="003619D8" w:rsidRDefault="003619D8" w:rsidP="003619D8">
      <w:pPr>
        <w:pStyle w:val="BodyText"/>
        <w:ind w:left="3445" w:right="3096"/>
        <w:jc w:val="center"/>
      </w:pPr>
      <w:r>
        <w:t>International Relations Department</w:t>
      </w:r>
      <w:r>
        <w:rPr>
          <w:spacing w:val="-57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6131678F" w14:textId="77777777" w:rsidR="003619D8" w:rsidRPr="00BD7A0A" w:rsidRDefault="003619D8" w:rsidP="003619D8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3F5ED495" w14:textId="77777777" w:rsidR="003619D8" w:rsidRPr="00BD7A0A" w:rsidRDefault="003619D8" w:rsidP="003619D8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340E26BB" w14:textId="77777777" w:rsidR="003619D8" w:rsidRPr="00C64479" w:rsidRDefault="003619D8" w:rsidP="003619D8">
      <w:pPr>
        <w:pStyle w:val="BodyText"/>
        <w:ind w:left="0"/>
        <w:jc w:val="center"/>
      </w:pPr>
      <w:r w:rsidRPr="00C64479">
        <w:t>Practice of Simultaneous Translation</w:t>
      </w:r>
    </w:p>
    <w:p w14:paraId="51A90822" w14:textId="77777777" w:rsidR="00FE553F" w:rsidRDefault="00FE553F">
      <w:pPr>
        <w:pStyle w:val="BodyText"/>
        <w:ind w:left="0"/>
      </w:pPr>
    </w:p>
    <w:p w14:paraId="5CA9D458" w14:textId="77777777" w:rsidR="00FE553F" w:rsidRDefault="00000000">
      <w:pPr>
        <w:pStyle w:val="Heading1"/>
        <w:ind w:left="1707" w:right="1356"/>
        <w:jc w:val="center"/>
      </w:pPr>
      <w:r>
        <w:t>Lecture</w:t>
      </w:r>
      <w:r>
        <w:rPr>
          <w:spacing w:val="-3"/>
        </w:rPr>
        <w:t xml:space="preserve"> </w:t>
      </w:r>
      <w:r>
        <w:t>11</w:t>
      </w:r>
    </w:p>
    <w:p w14:paraId="7A44258F" w14:textId="77777777" w:rsidR="00FE553F" w:rsidRDefault="00FE553F">
      <w:pPr>
        <w:pStyle w:val="BodyText"/>
        <w:spacing w:before="1"/>
        <w:ind w:left="0"/>
        <w:rPr>
          <w:b/>
          <w:sz w:val="36"/>
        </w:rPr>
      </w:pPr>
    </w:p>
    <w:p w14:paraId="2361C6E0" w14:textId="77777777" w:rsidR="00FE553F" w:rsidRDefault="00000000">
      <w:pPr>
        <w:spacing w:line="360" w:lineRule="auto"/>
        <w:ind w:left="462" w:right="4247"/>
        <w:rPr>
          <w:b/>
          <w:sz w:val="24"/>
        </w:rPr>
      </w:pPr>
      <w:r>
        <w:rPr>
          <w:b/>
          <w:sz w:val="24"/>
        </w:rPr>
        <w:t>Module 3: Modern concepts of Translation Studies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Speech redundancy</w:t>
      </w:r>
    </w:p>
    <w:p w14:paraId="791756D0" w14:textId="77777777" w:rsidR="00FE553F" w:rsidRDefault="00FE553F">
      <w:pPr>
        <w:pStyle w:val="BodyText"/>
        <w:spacing w:before="10"/>
        <w:ind w:left="0"/>
        <w:rPr>
          <w:b/>
          <w:sz w:val="35"/>
        </w:rPr>
      </w:pPr>
    </w:p>
    <w:p w14:paraId="0F6A68CB" w14:textId="77777777" w:rsidR="00FE553F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0042F78F" w14:textId="77777777" w:rsidR="00FE553F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Introduction</w:t>
      </w:r>
    </w:p>
    <w:p w14:paraId="241FEB30" w14:textId="77777777" w:rsidR="00FE553F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redundancy 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778E59CA" w14:textId="77777777" w:rsidR="00FE553F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Conclusion</w:t>
      </w:r>
    </w:p>
    <w:p w14:paraId="2B17A24E" w14:textId="77777777" w:rsidR="00FE553F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44BA50D8" w14:textId="77777777" w:rsidR="00FE553F" w:rsidRDefault="00FE553F">
      <w:pPr>
        <w:pStyle w:val="BodyText"/>
        <w:ind w:left="0"/>
        <w:rPr>
          <w:sz w:val="26"/>
        </w:rPr>
      </w:pPr>
    </w:p>
    <w:p w14:paraId="3ABC4563" w14:textId="77777777" w:rsidR="00FE553F" w:rsidRDefault="00FE553F">
      <w:pPr>
        <w:pStyle w:val="BodyText"/>
        <w:ind w:left="0"/>
        <w:rPr>
          <w:sz w:val="22"/>
        </w:rPr>
      </w:pPr>
    </w:p>
    <w:p w14:paraId="63BEB56A" w14:textId="77777777" w:rsidR="00FE553F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2642842B" w14:textId="77777777" w:rsidR="00FE553F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Redundant</w:t>
      </w:r>
      <w:r>
        <w:rPr>
          <w:spacing w:val="-1"/>
          <w:sz w:val="24"/>
        </w:rPr>
        <w:t xml:space="preserve"> </w:t>
      </w:r>
      <w:r>
        <w:rPr>
          <w:sz w:val="24"/>
        </w:rPr>
        <w:t>gesture</w:t>
      </w:r>
    </w:p>
    <w:p w14:paraId="60D5253C" w14:textId="77777777" w:rsidR="00FE553F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Non-redundant</w:t>
      </w:r>
      <w:r>
        <w:rPr>
          <w:spacing w:val="-3"/>
          <w:sz w:val="24"/>
        </w:rPr>
        <w:t xml:space="preserve"> </w:t>
      </w:r>
      <w:r>
        <w:rPr>
          <w:sz w:val="24"/>
        </w:rPr>
        <w:t>gesture–speech combinations</w:t>
      </w:r>
    </w:p>
    <w:p w14:paraId="6C0250CD" w14:textId="77777777" w:rsidR="00FE553F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coding</w:t>
      </w:r>
      <w:r>
        <w:rPr>
          <w:spacing w:val="-1"/>
          <w:sz w:val="24"/>
        </w:rPr>
        <w:t xml:space="preserve"> </w:t>
      </w:r>
      <w:r>
        <w:rPr>
          <w:sz w:val="24"/>
        </w:rPr>
        <w:t>redundancy</w:t>
      </w:r>
    </w:p>
    <w:p w14:paraId="2FE2B8CB" w14:textId="77777777" w:rsidR="00FE553F" w:rsidRDefault="00FE553F">
      <w:pPr>
        <w:pStyle w:val="BodyText"/>
        <w:ind w:left="0"/>
        <w:rPr>
          <w:sz w:val="26"/>
        </w:rPr>
      </w:pPr>
    </w:p>
    <w:p w14:paraId="27D80203" w14:textId="77777777" w:rsidR="00FE553F" w:rsidRDefault="00FE553F">
      <w:pPr>
        <w:pStyle w:val="BodyText"/>
        <w:ind w:left="0"/>
        <w:rPr>
          <w:sz w:val="22"/>
        </w:rPr>
      </w:pPr>
    </w:p>
    <w:p w14:paraId="24D204C2" w14:textId="77777777" w:rsidR="00FE553F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280D4DE3" w14:textId="77777777" w:rsidR="00FE553F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 redundant gesture</w:t>
      </w:r>
    </w:p>
    <w:p w14:paraId="2171B4EA" w14:textId="77777777" w:rsidR="00FE553F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non-redundant</w:t>
      </w:r>
      <w:r>
        <w:rPr>
          <w:spacing w:val="-1"/>
          <w:sz w:val="24"/>
        </w:rPr>
        <w:t xml:space="preserve"> </w:t>
      </w:r>
      <w:r>
        <w:rPr>
          <w:sz w:val="24"/>
        </w:rPr>
        <w:t>gesture–speech</w:t>
      </w:r>
    </w:p>
    <w:p w14:paraId="2236385F" w14:textId="77777777" w:rsidR="00FE553F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coding</w:t>
      </w:r>
      <w:r>
        <w:rPr>
          <w:spacing w:val="-1"/>
          <w:sz w:val="24"/>
        </w:rPr>
        <w:t xml:space="preserve"> </w:t>
      </w:r>
      <w:r>
        <w:rPr>
          <w:sz w:val="24"/>
        </w:rPr>
        <w:t>redundancy</w:t>
      </w:r>
    </w:p>
    <w:p w14:paraId="151D534E" w14:textId="77777777" w:rsidR="00FE553F" w:rsidRDefault="00FE553F">
      <w:pPr>
        <w:pStyle w:val="BodyText"/>
        <w:ind w:left="0"/>
        <w:rPr>
          <w:sz w:val="26"/>
        </w:rPr>
      </w:pPr>
    </w:p>
    <w:p w14:paraId="2111930E" w14:textId="77777777" w:rsidR="00FE553F" w:rsidRDefault="00FE553F">
      <w:pPr>
        <w:pStyle w:val="BodyText"/>
        <w:ind w:left="0"/>
        <w:rPr>
          <w:sz w:val="26"/>
        </w:rPr>
      </w:pPr>
    </w:p>
    <w:p w14:paraId="3A435102" w14:textId="77777777" w:rsidR="00FE553F" w:rsidRDefault="00FE553F">
      <w:pPr>
        <w:pStyle w:val="BodyText"/>
        <w:spacing w:before="1"/>
        <w:ind w:left="0"/>
        <w:rPr>
          <w:sz w:val="32"/>
        </w:rPr>
      </w:pPr>
    </w:p>
    <w:p w14:paraId="43879A29" w14:textId="77777777" w:rsidR="00FE553F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4431E7F8" w14:textId="77777777" w:rsidR="00FE553F" w:rsidRDefault="00000000">
      <w:pPr>
        <w:pStyle w:val="BodyText"/>
        <w:spacing w:before="138"/>
      </w:pPr>
      <w:r>
        <w:t>Gesture,</w:t>
      </w:r>
      <w:r>
        <w:rPr>
          <w:spacing w:val="-1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spatial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image,</w:t>
      </w:r>
      <w:r>
        <w:rPr>
          <w:spacing w:val="-1"/>
        </w:rPr>
        <w:t xml:space="preserve"> </w:t>
      </w:r>
      <w:r>
        <w:t>gesture–speech</w:t>
      </w:r>
      <w:r>
        <w:rPr>
          <w:spacing w:val="1"/>
        </w:rPr>
        <w:t xml:space="preserve"> </w:t>
      </w:r>
      <w:r>
        <w:t>redundancy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etc.</w:t>
      </w:r>
    </w:p>
    <w:p w14:paraId="499CDD19" w14:textId="77777777" w:rsidR="00FE553F" w:rsidRDefault="00FE553F">
      <w:pPr>
        <w:pStyle w:val="BodyText"/>
        <w:ind w:left="0"/>
        <w:rPr>
          <w:sz w:val="26"/>
        </w:rPr>
      </w:pPr>
    </w:p>
    <w:p w14:paraId="21DAF747" w14:textId="77777777" w:rsidR="00FE553F" w:rsidRDefault="00FE553F">
      <w:pPr>
        <w:pStyle w:val="BodyText"/>
        <w:spacing w:before="11"/>
        <w:ind w:left="0"/>
        <w:rPr>
          <w:sz w:val="21"/>
        </w:rPr>
      </w:pPr>
    </w:p>
    <w:p w14:paraId="684D278C" w14:textId="77777777" w:rsidR="00FE553F" w:rsidRDefault="00000000">
      <w:pPr>
        <w:pStyle w:val="BodyText"/>
        <w:spacing w:line="360" w:lineRule="auto"/>
        <w:ind w:right="411"/>
      </w:pPr>
      <w:r>
        <w:t>Speakers communicate information in many ways. Most obviously, speakers often produce</w:t>
      </w:r>
      <w:r>
        <w:rPr>
          <w:spacing w:val="1"/>
        </w:rPr>
        <w:t xml:space="preserve"> </w:t>
      </w:r>
      <w:r>
        <w:t>words and sentences that describe their entire meaning verbally. In addition, speakers produce</w:t>
      </w:r>
      <w:r>
        <w:rPr>
          <w:spacing w:val="-57"/>
        </w:rPr>
        <w:t xml:space="preserve"> </w:t>
      </w:r>
      <w:r>
        <w:t>nonverbal cues such as facial expressions, intonations, and hand gestures that can reinforce or</w:t>
      </w:r>
      <w:r>
        <w:rPr>
          <w:spacing w:val="-57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carry 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meaning.</w:t>
      </w:r>
      <w:r>
        <w:rPr>
          <w:spacing w:val="-1"/>
        </w:rPr>
        <w:t xml:space="preserve"> </w:t>
      </w:r>
      <w:r>
        <w:t>For instance,</w:t>
      </w:r>
      <w:r>
        <w:rPr>
          <w:spacing w:val="1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speaker</w:t>
      </w:r>
      <w:r>
        <w:rPr>
          <w:spacing w:val="-1"/>
        </w:rPr>
        <w:t xml:space="preserve"> </w:t>
      </w:r>
      <w:r>
        <w:t>who says “he</w:t>
      </w:r>
      <w:r>
        <w:rPr>
          <w:spacing w:val="-2"/>
        </w:rPr>
        <w:t xml:space="preserve"> </w:t>
      </w:r>
      <w:r>
        <w:t>did some</w:t>
      </w:r>
    </w:p>
    <w:p w14:paraId="72F30E02" w14:textId="77777777" w:rsidR="00FE553F" w:rsidRDefault="00000000">
      <w:pPr>
        <w:pStyle w:val="BodyText"/>
        <w:spacing w:line="360" w:lineRule="auto"/>
        <w:ind w:right="103"/>
      </w:pPr>
      <w:r>
        <w:t>exercises” while pushing her hands outward from her body repeatedly, as though doing push ups.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gesture</w:t>
      </w:r>
      <w:r>
        <w:rPr>
          <w:spacing w:val="-2"/>
        </w:rPr>
        <w:t xml:space="preserve"> </w:t>
      </w:r>
      <w:r>
        <w:t>conveys more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information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 of exercises</w:t>
      </w:r>
      <w:r>
        <w:rPr>
          <w:spacing w:val="-1"/>
        </w:rPr>
        <w:t xml:space="preserve"> </w:t>
      </w:r>
      <w:r>
        <w:t>she is describing</w:t>
      </w:r>
      <w:r>
        <w:rPr>
          <w:spacing w:val="2"/>
        </w:rPr>
        <w:t xml:space="preserve"> </w:t>
      </w:r>
      <w:r>
        <w:t>than</w:t>
      </w:r>
    </w:p>
    <w:p w14:paraId="716D4EFF" w14:textId="77777777" w:rsidR="00FE553F" w:rsidRDefault="00FE553F">
      <w:pPr>
        <w:spacing w:line="360" w:lineRule="auto"/>
        <w:sectPr w:rsidR="00FE553F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14:paraId="097C789D" w14:textId="77777777" w:rsidR="00FE553F" w:rsidRDefault="00000000">
      <w:pPr>
        <w:pStyle w:val="BodyText"/>
        <w:spacing w:before="73" w:line="360" w:lineRule="auto"/>
        <w:ind w:right="229"/>
      </w:pPr>
      <w:r>
        <w:lastRenderedPageBreak/>
        <w:t>does her speech. Such gesture–speech combinations have been referred to as “mismatching”</w:t>
      </w:r>
      <w:r>
        <w:rPr>
          <w:spacing w:val="1"/>
        </w:rPr>
        <w:t xml:space="preserve"> </w:t>
      </w:r>
      <w:r>
        <w:t>(e.g., Church &amp; Goldin-Meadow, 1986), “complementary” (e.g., McNeill, 1992), or “non-</w:t>
      </w:r>
      <w:r>
        <w:rPr>
          <w:spacing w:val="1"/>
        </w:rPr>
        <w:t xml:space="preserve"> </w:t>
      </w:r>
      <w:r>
        <w:t>redundant” (e.g., Alibali, Evans, Hostetter, Ryan, &amp; Mainela-Arnold, 2009). The degree of</w:t>
      </w:r>
      <w:r>
        <w:rPr>
          <w:spacing w:val="1"/>
        </w:rPr>
        <w:t xml:space="preserve"> </w:t>
      </w:r>
      <w:r>
        <w:t>redundancy between a gesture and its accompanying speech can be considered along a</w:t>
      </w:r>
      <w:r>
        <w:rPr>
          <w:spacing w:val="1"/>
        </w:rPr>
        <w:t xml:space="preserve"> </w:t>
      </w:r>
      <w:r>
        <w:t>continuum (Goldin-Meadow, 2003). Because gestures and speech encode meanings in very</w:t>
      </w:r>
      <w:r>
        <w:rPr>
          <w:spacing w:val="1"/>
        </w:rPr>
        <w:t xml:space="preserve"> </w:t>
      </w:r>
      <w:r>
        <w:t>different ways, all gestures are non-redundant with speech to some degree. The spatial, holistic</w:t>
      </w:r>
      <w:r>
        <w:rPr>
          <w:spacing w:val="1"/>
        </w:rPr>
        <w:t xml:space="preserve"> </w:t>
      </w:r>
      <w:r>
        <w:t>medium of gesture supports the expression of more detailed spatial and motor information than</w:t>
      </w:r>
      <w:r>
        <w:rPr>
          <w:spacing w:val="1"/>
        </w:rPr>
        <w:t xml:space="preserve"> </w:t>
      </w:r>
      <w:r>
        <w:t>does the verbal, linear medium of speech. Consider a speaker who describes the actions of a</w:t>
      </w:r>
      <w:r>
        <w:rPr>
          <w:spacing w:val="1"/>
        </w:rPr>
        <w:t xml:space="preserve"> </w:t>
      </w:r>
      <w:r>
        <w:t>cartoon character on a high bar by saying “and he starts flipping around the bar” while quickly</w:t>
      </w:r>
      <w:r>
        <w:rPr>
          <w:spacing w:val="1"/>
        </w:rPr>
        <w:t xml:space="preserve"> </w:t>
      </w:r>
      <w:r>
        <w:t>making three small circles with the index finger of her left hand. The gesture provides some</w:t>
      </w:r>
      <w:r>
        <w:rPr>
          <w:spacing w:val="1"/>
        </w:rPr>
        <w:t xml:space="preserve"> </w:t>
      </w:r>
      <w:r>
        <w:t>information about how many flips occurred and how fast they were; however, the basic action</w:t>
      </w:r>
      <w:r>
        <w:rPr>
          <w:spacing w:val="1"/>
        </w:rPr>
        <w:t xml:space="preserve"> </w:t>
      </w:r>
      <w:r>
        <w:t>event being described (e.g., spinning around the bar) is conveyed by both gesture and speech. In</w:t>
      </w:r>
      <w:r>
        <w:rPr>
          <w:spacing w:val="-57"/>
        </w:rPr>
        <w:t xml:space="preserve"> </w:t>
      </w:r>
      <w:r>
        <w:t>this sense, this gesture is largely redundant with the accompanying speech. In contrast, consider</w:t>
      </w:r>
      <w:r>
        <w:rPr>
          <w:spacing w:val="-57"/>
        </w:rPr>
        <w:t xml:space="preserve"> </w:t>
      </w:r>
      <w:r>
        <w:t>the “exercising” gesture described previously. This gesture conveys more information about the</w:t>
      </w:r>
      <w:r>
        <w:rPr>
          <w:spacing w:val="-57"/>
        </w:rPr>
        <w:t xml:space="preserve"> </w:t>
      </w:r>
      <w:r>
        <w:t>nature of the action being described than does the accompanying speech, and is therefore closer</w:t>
      </w:r>
      <w:r>
        <w:rPr>
          <w:spacing w:val="1"/>
        </w:rPr>
        <w:t xml:space="preserve"> </w:t>
      </w:r>
      <w:r>
        <w:t>to the non-redundant end of the continuum. Throughout this paper, we use the term “non-</w:t>
      </w:r>
      <w:r>
        <w:rPr>
          <w:spacing w:val="1"/>
        </w:rPr>
        <w:t xml:space="preserve"> </w:t>
      </w:r>
      <w:r>
        <w:t>redundant gesture” to refer to gestures that elaborate on the identity of the specific action or</w:t>
      </w:r>
      <w:r>
        <w:rPr>
          <w:spacing w:val="1"/>
        </w:rPr>
        <w:t xml:space="preserve"> </w:t>
      </w:r>
      <w:r>
        <w:t>object that is referred to in a speaker’s message. We use the term “redundant gesture” to refer to</w:t>
      </w:r>
      <w:r>
        <w:rPr>
          <w:spacing w:val="-57"/>
        </w:rPr>
        <w:t xml:space="preserve"> </w:t>
      </w:r>
      <w:r>
        <w:t>gestures that depict the same object or action that is mentioned in speech, even if they elaborate</w:t>
      </w:r>
      <w:r>
        <w:rPr>
          <w:spacing w:val="1"/>
        </w:rPr>
        <w:t xml:space="preserve"> </w:t>
      </w:r>
      <w:r>
        <w:t>on some characteristic such as size, speed, or direction, as in the “flipping” example described</w:t>
      </w:r>
      <w:r>
        <w:rPr>
          <w:spacing w:val="1"/>
        </w:rPr>
        <w:t xml:space="preserve"> </w:t>
      </w:r>
      <w:r>
        <w:t>above. At first blush, dividing the information one wishes to convey between the verbal and</w:t>
      </w:r>
      <w:r>
        <w:rPr>
          <w:spacing w:val="1"/>
        </w:rPr>
        <w:t xml:space="preserve"> </w:t>
      </w:r>
      <w:r>
        <w:t>gestural channels may seem like a less effective communicative strategy than conveying the</w:t>
      </w:r>
      <w:r>
        <w:rPr>
          <w:spacing w:val="1"/>
        </w:rPr>
        <w:t xml:space="preserve"> </w:t>
      </w:r>
      <w:r>
        <w:t>entire message in speech. However, extensive evidence suggests that information that is</w:t>
      </w:r>
      <w:r>
        <w:rPr>
          <w:spacing w:val="1"/>
        </w:rPr>
        <w:t xml:space="preserve"> </w:t>
      </w:r>
      <w:r>
        <w:t>conveyed uniquely in gesture is attended to and readily understood by listeners (e.g., Alibali,</w:t>
      </w:r>
      <w:r>
        <w:rPr>
          <w:spacing w:val="1"/>
        </w:rPr>
        <w:t xml:space="preserve"> </w:t>
      </w:r>
      <w:r>
        <w:t>Flevares, &amp; Goldin-Meadow, 1997; Mc-Neill, Cassell, &amp; McCullough, 1994). Indeed, a recent</w:t>
      </w:r>
      <w:r>
        <w:rPr>
          <w:spacing w:val="1"/>
        </w:rPr>
        <w:t xml:space="preserve"> </w:t>
      </w:r>
      <w:r>
        <w:t>meta-analysis suggests that gestures that are non-redundant with speech actually have a greater</w:t>
      </w:r>
      <w:r>
        <w:rPr>
          <w:spacing w:val="1"/>
        </w:rPr>
        <w:t xml:space="preserve"> </w:t>
      </w:r>
      <w:r>
        <w:t>influence on listener comprehension than gestures that are redundant with speech (Hostetter,</w:t>
      </w:r>
      <w:r>
        <w:rPr>
          <w:spacing w:val="1"/>
        </w:rPr>
        <w:t xml:space="preserve"> </w:t>
      </w:r>
      <w:r>
        <w:t>2011). Thus, producing non-redundant gestures with speech is a successful communicative</w:t>
      </w:r>
      <w:r>
        <w:rPr>
          <w:spacing w:val="1"/>
        </w:rPr>
        <w:t xml:space="preserve"> </w:t>
      </w:r>
      <w:r>
        <w:t>strategy,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 may</w:t>
      </w:r>
      <w:r>
        <w:rPr>
          <w:spacing w:val="-1"/>
        </w:rPr>
        <w:t xml:space="preserve"> </w:t>
      </w:r>
      <w:r>
        <w:t>be as successful as</w:t>
      </w:r>
      <w:r>
        <w:rPr>
          <w:spacing w:val="1"/>
        </w:rPr>
        <w:t xml:space="preserve"> </w:t>
      </w:r>
      <w:r>
        <w:t>articulating</w:t>
      </w:r>
      <w:r>
        <w:rPr>
          <w:spacing w:val="-1"/>
        </w:rPr>
        <w:t xml:space="preserve"> </w:t>
      </w:r>
      <w:r>
        <w:t>all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details in</w:t>
      </w:r>
      <w:r>
        <w:rPr>
          <w:spacing w:val="-1"/>
        </w:rPr>
        <w:t xml:space="preserve"> </w:t>
      </w:r>
      <w:r>
        <w:t>speech.</w:t>
      </w:r>
    </w:p>
    <w:p w14:paraId="072BC8C6" w14:textId="77777777" w:rsidR="00FE553F" w:rsidRDefault="00FE553F">
      <w:pPr>
        <w:pStyle w:val="BodyText"/>
        <w:spacing w:before="3"/>
        <w:ind w:left="0"/>
        <w:rPr>
          <w:sz w:val="36"/>
        </w:rPr>
      </w:pPr>
    </w:p>
    <w:p w14:paraId="35C20E13" w14:textId="77777777" w:rsidR="00FE553F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70A2C6F1" w14:textId="77777777" w:rsidR="00FE553F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issues of</w:t>
      </w:r>
      <w:r>
        <w:rPr>
          <w:spacing w:val="-1"/>
          <w:sz w:val="24"/>
        </w:rPr>
        <w:t xml:space="preserve"> </w:t>
      </w:r>
      <w:r>
        <w:rPr>
          <w:sz w:val="24"/>
        </w:rPr>
        <w:t>redundant gesture</w:t>
      </w:r>
      <w:r>
        <w:rPr>
          <w:spacing w:val="-2"/>
          <w:sz w:val="24"/>
        </w:rPr>
        <w:t xml:space="preserve"> </w:t>
      </w:r>
      <w:r>
        <w:rPr>
          <w:sz w:val="24"/>
        </w:rPr>
        <w:t>speech</w:t>
      </w:r>
    </w:p>
    <w:p w14:paraId="2FB6F5CD" w14:textId="77777777" w:rsidR="00FE553F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 speech</w:t>
      </w:r>
      <w:r>
        <w:rPr>
          <w:spacing w:val="-1"/>
          <w:sz w:val="24"/>
        </w:rPr>
        <w:t xml:space="preserve"> </w:t>
      </w:r>
      <w:r>
        <w:rPr>
          <w:sz w:val="24"/>
        </w:rPr>
        <w:t>redundancy</w:t>
      </w:r>
      <w:r>
        <w:rPr>
          <w:spacing w:val="-1"/>
          <w:sz w:val="24"/>
        </w:rPr>
        <w:t xml:space="preserve"> </w:t>
      </w:r>
      <w:r>
        <w:rPr>
          <w:sz w:val="24"/>
        </w:rPr>
        <w:t>in SI</w:t>
      </w:r>
    </w:p>
    <w:p w14:paraId="190082AE" w14:textId="77777777" w:rsidR="00FE553F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 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</w:p>
    <w:p w14:paraId="43A21272" w14:textId="77777777" w:rsidR="00FE553F" w:rsidRDefault="00FE553F">
      <w:pPr>
        <w:rPr>
          <w:sz w:val="24"/>
        </w:rPr>
        <w:sectPr w:rsidR="00FE553F">
          <w:pgSz w:w="11910" w:h="16840"/>
          <w:pgMar w:top="1040" w:right="740" w:bottom="280" w:left="1240" w:header="720" w:footer="720" w:gutter="0"/>
          <w:cols w:space="720"/>
        </w:sectPr>
      </w:pPr>
    </w:p>
    <w:p w14:paraId="3BAA72F6" w14:textId="77777777" w:rsidR="00FE553F" w:rsidRDefault="00000000">
      <w:pPr>
        <w:pStyle w:val="Heading1"/>
        <w:spacing w:before="73"/>
      </w:pPr>
      <w:r>
        <w:lastRenderedPageBreak/>
        <w:t>References</w:t>
      </w:r>
    </w:p>
    <w:p w14:paraId="15090F27" w14:textId="77777777" w:rsidR="00FE553F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40" w:line="259" w:lineRule="auto"/>
        <w:ind w:right="139" w:firstLine="0"/>
        <w:rPr>
          <w:sz w:val="24"/>
        </w:rPr>
      </w:pPr>
      <w:r>
        <w:rPr>
          <w:sz w:val="24"/>
        </w:rPr>
        <w:t>Van Dake T.What is Political Discourse Analysis? - Amsterdam: Universiteit van Amsterdam,</w:t>
      </w:r>
      <w:r>
        <w:rPr>
          <w:spacing w:val="-57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p.250</w:t>
      </w:r>
    </w:p>
    <w:p w14:paraId="1796FF19" w14:textId="77777777" w:rsidR="00FE553F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60"/>
        <w:ind w:left="702" w:hanging="241"/>
        <w:rPr>
          <w:sz w:val="24"/>
        </w:rPr>
      </w:pPr>
      <w:r>
        <w:rPr>
          <w:sz w:val="24"/>
        </w:rPr>
        <w:t>Jones</w:t>
      </w:r>
      <w:r>
        <w:rPr>
          <w:spacing w:val="-1"/>
          <w:sz w:val="24"/>
        </w:rPr>
        <w:t xml:space="preserve"> </w:t>
      </w:r>
      <w:r>
        <w:rPr>
          <w:sz w:val="24"/>
        </w:rPr>
        <w:t>R. 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interpreting explained.-</w:t>
      </w:r>
      <w:r>
        <w:rPr>
          <w:spacing w:val="2"/>
          <w:sz w:val="24"/>
        </w:rPr>
        <w:t xml:space="preserve"> </w:t>
      </w:r>
      <w:r>
        <w:rPr>
          <w:sz w:val="24"/>
        </w:rPr>
        <w:t>Michigan:</w:t>
      </w:r>
      <w:r>
        <w:rPr>
          <w:spacing w:val="-1"/>
          <w:sz w:val="24"/>
        </w:rPr>
        <w:t xml:space="preserve"> </w:t>
      </w:r>
      <w:r>
        <w:rPr>
          <w:sz w:val="24"/>
        </w:rPr>
        <w:t>St Jerome Publishing,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p. 142</w:t>
      </w:r>
    </w:p>
    <w:p w14:paraId="16C510D7" w14:textId="77777777" w:rsidR="00FE553F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82" w:line="259" w:lineRule="auto"/>
        <w:ind w:right="512" w:firstLine="0"/>
        <w:rPr>
          <w:sz w:val="24"/>
        </w:rPr>
      </w:pPr>
      <w:r>
        <w:rPr>
          <w:sz w:val="24"/>
        </w:rPr>
        <w:t>Goldin-Meadow, Susan (2003). Hearing gesture: how our hands help us think. Cambridge,</w:t>
      </w:r>
      <w:r>
        <w:rPr>
          <w:spacing w:val="-57"/>
          <w:sz w:val="24"/>
        </w:rPr>
        <w:t xml:space="preserve"> </w:t>
      </w:r>
      <w:r>
        <w:rPr>
          <w:sz w:val="24"/>
        </w:rPr>
        <w:t>MA:</w:t>
      </w:r>
      <w:r>
        <w:rPr>
          <w:spacing w:val="-1"/>
          <w:sz w:val="24"/>
        </w:rPr>
        <w:t xml:space="preserve"> </w:t>
      </w:r>
      <w:r>
        <w:rPr>
          <w:sz w:val="24"/>
        </w:rPr>
        <w:t>Harvard University</w:t>
      </w:r>
      <w:r>
        <w:rPr>
          <w:spacing w:val="2"/>
          <w:sz w:val="24"/>
        </w:rPr>
        <w:t xml:space="preserve"> </w:t>
      </w:r>
      <w:r>
        <w:rPr>
          <w:sz w:val="24"/>
        </w:rPr>
        <w:t>Press.</w:t>
      </w:r>
    </w:p>
    <w:p w14:paraId="2123C8C5" w14:textId="77777777" w:rsidR="00FE553F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58" w:line="261" w:lineRule="auto"/>
        <w:ind w:right="129" w:firstLine="0"/>
        <w:rPr>
          <w:sz w:val="24"/>
        </w:rPr>
      </w:pPr>
      <w:r>
        <w:rPr>
          <w:sz w:val="24"/>
        </w:rPr>
        <w:t>Graham, Jean Ann &amp; Simon Heywood (1975). The effects of elimination of hand gestures and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verbal</w:t>
      </w:r>
      <w:r>
        <w:rPr>
          <w:spacing w:val="1"/>
          <w:sz w:val="24"/>
        </w:rPr>
        <w:t xml:space="preserve"> </w:t>
      </w:r>
      <w:r>
        <w:rPr>
          <w:sz w:val="24"/>
        </w:rPr>
        <w:t>codability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-1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of Social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"/>
          <w:sz w:val="24"/>
        </w:rPr>
        <w:t xml:space="preserve"> </w:t>
      </w:r>
      <w:r>
        <w:rPr>
          <w:sz w:val="24"/>
        </w:rPr>
        <w:t>5, 189–195.</w:t>
      </w:r>
    </w:p>
    <w:sectPr w:rsidR="00FE553F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A25DB"/>
    <w:multiLevelType w:val="hybridMultilevel"/>
    <w:tmpl w:val="034CC486"/>
    <w:lvl w:ilvl="0" w:tplc="05C0DC6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32985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E768001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0F102AFA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4500739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F64A04FA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554F4F0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53B4A6E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A672D9A2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975BFF"/>
    <w:multiLevelType w:val="hybridMultilevel"/>
    <w:tmpl w:val="2F1A827A"/>
    <w:lvl w:ilvl="0" w:tplc="17FA227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66B79C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572CC1B6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E438F386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ED00ABA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DFECED5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61439B0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746262B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10F26D26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921424"/>
    <w:multiLevelType w:val="hybridMultilevel"/>
    <w:tmpl w:val="B21A3900"/>
    <w:lvl w:ilvl="0" w:tplc="04C8D4B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EE1BD6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092B52A">
      <w:numFmt w:val="bullet"/>
      <w:lvlText w:val="•"/>
      <w:lvlJc w:val="left"/>
      <w:pPr>
        <w:ind w:left="2353" w:hanging="240"/>
      </w:pPr>
      <w:rPr>
        <w:rFonts w:hint="default"/>
        <w:lang w:val="en-US" w:eastAsia="en-US" w:bidi="ar-SA"/>
      </w:rPr>
    </w:lvl>
    <w:lvl w:ilvl="3" w:tplc="9558B85A">
      <w:numFmt w:val="bullet"/>
      <w:lvlText w:val="•"/>
      <w:lvlJc w:val="left"/>
      <w:pPr>
        <w:ind w:left="3299" w:hanging="240"/>
      </w:pPr>
      <w:rPr>
        <w:rFonts w:hint="default"/>
        <w:lang w:val="en-US" w:eastAsia="en-US" w:bidi="ar-SA"/>
      </w:rPr>
    </w:lvl>
    <w:lvl w:ilvl="4" w:tplc="CC882AD8">
      <w:numFmt w:val="bullet"/>
      <w:lvlText w:val="•"/>
      <w:lvlJc w:val="left"/>
      <w:pPr>
        <w:ind w:left="4246" w:hanging="240"/>
      </w:pPr>
      <w:rPr>
        <w:rFonts w:hint="default"/>
        <w:lang w:val="en-US" w:eastAsia="en-US" w:bidi="ar-SA"/>
      </w:rPr>
    </w:lvl>
    <w:lvl w:ilvl="5" w:tplc="257C8990">
      <w:numFmt w:val="bullet"/>
      <w:lvlText w:val="•"/>
      <w:lvlJc w:val="left"/>
      <w:pPr>
        <w:ind w:left="5193" w:hanging="240"/>
      </w:pPr>
      <w:rPr>
        <w:rFonts w:hint="default"/>
        <w:lang w:val="en-US" w:eastAsia="en-US" w:bidi="ar-SA"/>
      </w:rPr>
    </w:lvl>
    <w:lvl w:ilvl="6" w:tplc="D9A41602">
      <w:numFmt w:val="bullet"/>
      <w:lvlText w:val="•"/>
      <w:lvlJc w:val="left"/>
      <w:pPr>
        <w:ind w:left="6139" w:hanging="240"/>
      </w:pPr>
      <w:rPr>
        <w:rFonts w:hint="default"/>
        <w:lang w:val="en-US" w:eastAsia="en-US" w:bidi="ar-SA"/>
      </w:rPr>
    </w:lvl>
    <w:lvl w:ilvl="7" w:tplc="9D5C7188">
      <w:numFmt w:val="bullet"/>
      <w:lvlText w:val="•"/>
      <w:lvlJc w:val="left"/>
      <w:pPr>
        <w:ind w:left="7086" w:hanging="240"/>
      </w:pPr>
      <w:rPr>
        <w:rFonts w:hint="default"/>
        <w:lang w:val="en-US" w:eastAsia="en-US" w:bidi="ar-SA"/>
      </w:rPr>
    </w:lvl>
    <w:lvl w:ilvl="8" w:tplc="D792B752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95300DA"/>
    <w:multiLevelType w:val="hybridMultilevel"/>
    <w:tmpl w:val="C136C578"/>
    <w:lvl w:ilvl="0" w:tplc="26CE126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4030B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A528878C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83F6FE60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57FE03F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5412C85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2DBCF4D0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9B14D3EC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A73C345C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num w:numId="1" w16cid:durableId="2132437782">
    <w:abstractNumId w:val="2"/>
  </w:num>
  <w:num w:numId="2" w16cid:durableId="139545145">
    <w:abstractNumId w:val="3"/>
  </w:num>
  <w:num w:numId="3" w16cid:durableId="1130057024">
    <w:abstractNumId w:val="0"/>
  </w:num>
  <w:num w:numId="4" w16cid:durableId="60735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53F"/>
    <w:rsid w:val="003619D8"/>
    <w:rsid w:val="009B3C7B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27146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619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2024-10-07T10:52:00Z</dcterms:created>
  <dcterms:modified xsi:type="dcterms:W3CDTF">2024-10-09T13:13:00Z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